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A5" w:rsidRDefault="002C48A5" w:rsidP="00AB143D">
      <w:pPr>
        <w:rPr>
          <w:b/>
        </w:rPr>
      </w:pPr>
      <w:r w:rsidRPr="002C48A5">
        <w:rPr>
          <w:b/>
        </w:rPr>
        <w:t>Solicitação:</w:t>
      </w:r>
    </w:p>
    <w:p w:rsidR="000206CD" w:rsidRPr="00517AB1" w:rsidRDefault="000206CD" w:rsidP="00AB143D">
      <w:pPr>
        <w:rPr>
          <w:b/>
        </w:rPr>
      </w:pPr>
    </w:p>
    <w:p w:rsidR="000206CD" w:rsidRPr="00517AB1" w:rsidRDefault="000206CD" w:rsidP="00840348">
      <w:pPr>
        <w:autoSpaceDE w:val="0"/>
        <w:autoSpaceDN w:val="0"/>
        <w:adjustRightInd w:val="0"/>
        <w:jc w:val="both"/>
      </w:pPr>
      <w:r w:rsidRPr="00517AB1">
        <w:t xml:space="preserve">Revisão da proposta </w:t>
      </w:r>
      <w:r w:rsidR="00636356" w:rsidRPr="00517AB1">
        <w:t xml:space="preserve">n° </w:t>
      </w:r>
      <w:r w:rsidR="00717F57" w:rsidRPr="00517AB1">
        <w:t>28</w:t>
      </w:r>
      <w:r w:rsidR="00AB34AE" w:rsidRPr="00517AB1">
        <w:t>8010</w:t>
      </w:r>
      <w:r w:rsidR="00636356" w:rsidRPr="00517AB1">
        <w:t>,</w:t>
      </w:r>
      <w:r w:rsidR="000F5B82" w:rsidRPr="00517AB1">
        <w:t xml:space="preserve"> </w:t>
      </w:r>
      <w:r w:rsidR="00A05221" w:rsidRPr="00517AB1">
        <w:t>cadastrada</w:t>
      </w:r>
      <w:r w:rsidR="003D1B94" w:rsidRPr="00517AB1">
        <w:t xml:space="preserve"> p</w:t>
      </w:r>
      <w:r w:rsidR="004E4D5D" w:rsidRPr="00517AB1">
        <w:t>el</w:t>
      </w:r>
      <w:r w:rsidR="00AB34AE" w:rsidRPr="00517AB1">
        <w:t>o I</w:t>
      </w:r>
      <w:r w:rsidR="00DD11C3" w:rsidRPr="00517AB1">
        <w:t>nstitu</w:t>
      </w:r>
      <w:r w:rsidR="00AB34AE" w:rsidRPr="00517AB1">
        <w:t>to Cultural Abrapalavra</w:t>
      </w:r>
      <w:r w:rsidR="004E4D5D" w:rsidRPr="00517AB1">
        <w:t>,</w:t>
      </w:r>
      <w:r w:rsidR="00717F57" w:rsidRPr="00517AB1">
        <w:t xml:space="preserve"> </w:t>
      </w:r>
      <w:r w:rsidRPr="00517AB1">
        <w:t>com vistas à admissibilidade da inscrição</w:t>
      </w:r>
      <w:r w:rsidR="00717F57" w:rsidRPr="00517AB1">
        <w:t xml:space="preserve"> </w:t>
      </w:r>
      <w:r w:rsidR="00AB34AE" w:rsidRPr="00517AB1">
        <w:t>d</w:t>
      </w:r>
      <w:r w:rsidR="00A05221" w:rsidRPr="00517AB1">
        <w:rPr>
          <w:bCs/>
        </w:rPr>
        <w:t xml:space="preserve">o projeto: </w:t>
      </w:r>
      <w:r w:rsidR="00AB34AE" w:rsidRPr="00517AB1">
        <w:rPr>
          <w:sz w:val="22"/>
          <w:szCs w:val="22"/>
        </w:rPr>
        <w:t>Por um encontro de vozes: a dimensão narrativa da memória social</w:t>
      </w:r>
      <w:r w:rsidR="00636356" w:rsidRPr="00517AB1">
        <w:t>.</w:t>
      </w:r>
      <w:r w:rsidR="00BF6E53" w:rsidRPr="00517AB1">
        <w:t xml:space="preserve"> </w:t>
      </w:r>
    </w:p>
    <w:p w:rsidR="00A656A1" w:rsidRDefault="00A656A1" w:rsidP="00B847FB">
      <w:pPr>
        <w:rPr>
          <w:b/>
        </w:rPr>
      </w:pPr>
    </w:p>
    <w:p w:rsidR="00B847FB" w:rsidRDefault="00B847FB" w:rsidP="00B847FB">
      <w:pPr>
        <w:rPr>
          <w:b/>
        </w:rPr>
      </w:pPr>
      <w:r>
        <w:rPr>
          <w:b/>
        </w:rPr>
        <w:t>Análise</w:t>
      </w:r>
      <w:r w:rsidRPr="002C48A5">
        <w:rPr>
          <w:b/>
        </w:rPr>
        <w:t>:</w:t>
      </w:r>
    </w:p>
    <w:p w:rsidR="00B847FB" w:rsidRDefault="00B847FB" w:rsidP="00B847FB">
      <w:pPr>
        <w:rPr>
          <w:b/>
        </w:rPr>
      </w:pPr>
    </w:p>
    <w:p w:rsidR="00F232F2" w:rsidRDefault="00AB34AE" w:rsidP="00F232F2">
      <w:pPr>
        <w:autoSpaceDE w:val="0"/>
        <w:autoSpaceDN w:val="0"/>
        <w:adjustRightInd w:val="0"/>
        <w:jc w:val="both"/>
      </w:pPr>
      <w:r>
        <w:t>O</w:t>
      </w:r>
      <w:r w:rsidR="00B847FB">
        <w:t xml:space="preserve"> recurso</w:t>
      </w:r>
      <w:r w:rsidR="00C024D2">
        <w:t xml:space="preserve"> </w:t>
      </w:r>
      <w:r w:rsidR="00994EBD">
        <w:t xml:space="preserve">de admissibilidade </w:t>
      </w:r>
      <w:r>
        <w:t xml:space="preserve">foi </w:t>
      </w:r>
      <w:r w:rsidR="00994EBD">
        <w:t>recebido por meio eletrônico em</w:t>
      </w:r>
      <w:r>
        <w:t xml:space="preserve"> duas mensagens</w:t>
      </w:r>
      <w:r w:rsidR="00FC64AD">
        <w:t>,</w:t>
      </w:r>
      <w:r>
        <w:t xml:space="preserve"> datadas de</w:t>
      </w:r>
      <w:proofErr w:type="gramStart"/>
      <w:r>
        <w:t xml:space="preserve"> </w:t>
      </w:r>
      <w:r w:rsidR="00994EBD">
        <w:t xml:space="preserve"> </w:t>
      </w:r>
      <w:proofErr w:type="gramEnd"/>
      <w:r w:rsidR="00994EBD">
        <w:t>0</w:t>
      </w:r>
      <w:r>
        <w:t>8</w:t>
      </w:r>
      <w:r w:rsidR="00994EBD">
        <w:t>/10/2018</w:t>
      </w:r>
      <w:r w:rsidR="00FC64AD">
        <w:t xml:space="preserve"> e</w:t>
      </w:r>
      <w:r w:rsidR="00994EBD">
        <w:t xml:space="preserve"> </w:t>
      </w:r>
      <w:r w:rsidR="00D84BCE">
        <w:t xml:space="preserve">pleiteia a </w:t>
      </w:r>
      <w:r w:rsidR="00281E9E">
        <w:t>admis</w:t>
      </w:r>
      <w:r w:rsidR="00840348">
        <w:t>são da</w:t>
      </w:r>
      <w:r w:rsidR="00281E9E">
        <w:t xml:space="preserve"> </w:t>
      </w:r>
      <w:r w:rsidR="00281E9E" w:rsidRPr="00FC64AD">
        <w:t xml:space="preserve">inscrição </w:t>
      </w:r>
      <w:r w:rsidR="00E108F2" w:rsidRPr="00FC64AD">
        <w:t xml:space="preserve">e </w:t>
      </w:r>
      <w:r w:rsidR="00FE64B8" w:rsidRPr="00FC64AD">
        <w:t>o</w:t>
      </w:r>
      <w:r w:rsidR="00E108F2" w:rsidRPr="00FC64AD">
        <w:t xml:space="preserve"> acatamento </w:t>
      </w:r>
      <w:r w:rsidR="00B96AD9" w:rsidRPr="00FC64AD">
        <w:t>da proposta</w:t>
      </w:r>
      <w:r w:rsidR="00FE64B8" w:rsidRPr="00FC64AD">
        <w:t xml:space="preserve"> “</w:t>
      </w:r>
      <w:r w:rsidR="00FC64AD" w:rsidRPr="00FC64AD">
        <w:t>Por um encontro de vozes: a dimensão narrativa da memória social</w:t>
      </w:r>
      <w:r w:rsidR="00FE64B8" w:rsidRPr="00FC64AD">
        <w:t>”</w:t>
      </w:r>
      <w:r w:rsidR="00FE64B8">
        <w:t xml:space="preserve"> para que </w:t>
      </w:r>
      <w:r w:rsidR="00E108F2">
        <w:t>seja aprovado</w:t>
      </w:r>
      <w:r w:rsidR="00F232F2">
        <w:t xml:space="preserve">. </w:t>
      </w:r>
    </w:p>
    <w:p w:rsidR="00D93170" w:rsidRDefault="008923FD" w:rsidP="00E97F6B">
      <w:pPr>
        <w:autoSpaceDE w:val="0"/>
        <w:autoSpaceDN w:val="0"/>
        <w:adjustRightInd w:val="0"/>
        <w:jc w:val="both"/>
      </w:pPr>
      <w:r>
        <w:t>A</w:t>
      </w:r>
      <w:r w:rsidR="00D93170">
        <w:t xml:space="preserve"> instituição </w:t>
      </w:r>
      <w:r w:rsidR="0017295F">
        <w:t xml:space="preserve">apresentou ações </w:t>
      </w:r>
      <w:r>
        <w:t>fora do escopo do Chamamento Público Modernização de Museus – Prêmios 2018, conforme destacamos a seguir:</w:t>
      </w:r>
    </w:p>
    <w:p w:rsidR="00817B58" w:rsidRDefault="00817B58" w:rsidP="00E97F6B">
      <w:pPr>
        <w:autoSpaceDE w:val="0"/>
        <w:autoSpaceDN w:val="0"/>
        <w:adjustRightInd w:val="0"/>
        <w:jc w:val="both"/>
      </w:pPr>
    </w:p>
    <w:p w:rsidR="004352B1" w:rsidRPr="00920476" w:rsidRDefault="004352B1" w:rsidP="0092047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20476">
        <w:rPr>
          <w:rFonts w:ascii="Calibri" w:hAnsi="Calibri" w:cs="Calibri"/>
          <w:iCs/>
          <w:color w:val="000000"/>
          <w:sz w:val="22"/>
          <w:szCs w:val="22"/>
        </w:rPr>
        <w:t xml:space="preserve">Lançamento, circulação e distribuição do CD Memórias do Pompéu. </w:t>
      </w:r>
      <w:r w:rsidRPr="00920476">
        <w:rPr>
          <w:rFonts w:ascii="Calibri" w:hAnsi="Calibri" w:cs="Calibri"/>
          <w:color w:val="000000"/>
          <w:sz w:val="22"/>
          <w:szCs w:val="22"/>
        </w:rPr>
        <w:t xml:space="preserve">Meta: realizar o lançamento para a comunidade do Pompéu, na inauguração do primeiro teatro do local e realizar a distribuição do material nas escolas e nos centros culturais de Sabará-MG. </w:t>
      </w:r>
    </w:p>
    <w:p w:rsidR="004352B1" w:rsidRPr="00920476" w:rsidRDefault="004352B1" w:rsidP="0092047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20476">
        <w:rPr>
          <w:rFonts w:ascii="Calibri" w:hAnsi="Calibri" w:cs="Calibri"/>
          <w:iCs/>
          <w:color w:val="000000"/>
          <w:sz w:val="22"/>
          <w:szCs w:val="22"/>
        </w:rPr>
        <w:t xml:space="preserve">Registro, gravação, edição e lançamento do CD Vozes da Mata </w:t>
      </w:r>
    </w:p>
    <w:p w:rsidR="004352B1" w:rsidRPr="00920476" w:rsidRDefault="004352B1" w:rsidP="0092047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20476">
        <w:rPr>
          <w:rFonts w:ascii="Calibri" w:hAnsi="Calibri" w:cs="Calibri"/>
          <w:color w:val="000000"/>
          <w:sz w:val="22"/>
          <w:szCs w:val="22"/>
        </w:rPr>
        <w:t xml:space="preserve">Acompanhar o cantador popular Sebastião Farinhada nas pesquisas de cantos e contos nas comunidades rurais </w:t>
      </w:r>
    </w:p>
    <w:p w:rsidR="004352B1" w:rsidRPr="00920476" w:rsidRDefault="004352B1" w:rsidP="0092047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20476">
        <w:rPr>
          <w:rFonts w:ascii="Calibri" w:hAnsi="Calibri" w:cs="Calibri"/>
          <w:color w:val="000000"/>
          <w:sz w:val="22"/>
          <w:szCs w:val="22"/>
        </w:rPr>
        <w:t xml:space="preserve">Registrar, gravar e editar o seu primeiro disco, feito de maneira coletiva. </w:t>
      </w:r>
    </w:p>
    <w:p w:rsidR="00817B58" w:rsidRPr="00920476" w:rsidRDefault="004352B1" w:rsidP="0092047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20476">
        <w:rPr>
          <w:rFonts w:ascii="Calibri" w:hAnsi="Calibri" w:cs="Calibri"/>
          <w:color w:val="000000"/>
          <w:sz w:val="22"/>
          <w:szCs w:val="22"/>
        </w:rPr>
        <w:t xml:space="preserve">Lançar o disco nas comunidades  </w:t>
      </w:r>
    </w:p>
    <w:p w:rsidR="004352B1" w:rsidRPr="00920476" w:rsidRDefault="004352B1" w:rsidP="0092047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20476">
        <w:rPr>
          <w:rFonts w:ascii="Calibri" w:hAnsi="Calibri" w:cs="Calibri"/>
          <w:iCs/>
          <w:color w:val="000000"/>
          <w:sz w:val="22"/>
          <w:szCs w:val="22"/>
        </w:rPr>
        <w:t xml:space="preserve">Escola Popular de Cultura e Turismo Comunitário do Pompéu </w:t>
      </w:r>
      <w:r w:rsidRPr="00920476">
        <w:rPr>
          <w:rFonts w:ascii="Calibri" w:hAnsi="Calibri" w:cs="Calibri"/>
          <w:color w:val="000000"/>
          <w:sz w:val="22"/>
          <w:szCs w:val="22"/>
        </w:rPr>
        <w:t xml:space="preserve">– com atuação em </w:t>
      </w:r>
      <w:proofErr w:type="spellStart"/>
      <w:r w:rsidRPr="00920476">
        <w:rPr>
          <w:rFonts w:ascii="Calibri" w:hAnsi="Calibri" w:cs="Calibri"/>
          <w:color w:val="000000"/>
          <w:sz w:val="22"/>
          <w:szCs w:val="22"/>
        </w:rPr>
        <w:t>Ravena</w:t>
      </w:r>
      <w:proofErr w:type="spellEnd"/>
      <w:r w:rsidRPr="00920476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920476">
        <w:rPr>
          <w:rFonts w:ascii="Calibri" w:hAnsi="Calibri" w:cs="Calibri"/>
          <w:color w:val="000000"/>
          <w:sz w:val="22"/>
          <w:szCs w:val="22"/>
        </w:rPr>
        <w:t>Gaia</w:t>
      </w:r>
      <w:proofErr w:type="spellEnd"/>
      <w:r w:rsidRPr="00920476">
        <w:rPr>
          <w:rFonts w:ascii="Calibri" w:hAnsi="Calibri" w:cs="Calibri"/>
          <w:color w:val="000000"/>
          <w:sz w:val="22"/>
          <w:szCs w:val="22"/>
        </w:rPr>
        <w:t xml:space="preserve">, Engenho Velho e outras comunidades de Sabará-MG </w:t>
      </w:r>
    </w:p>
    <w:p w:rsidR="004352B1" w:rsidRPr="004352B1" w:rsidRDefault="004352B1" w:rsidP="004352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4352B1">
        <w:rPr>
          <w:rFonts w:ascii="Calibri" w:hAnsi="Calibri" w:cs="Calibri"/>
          <w:color w:val="000000"/>
          <w:sz w:val="22"/>
          <w:szCs w:val="22"/>
        </w:rPr>
        <w:t xml:space="preserve">Meta: criar uma escola que fosse horizontal, livre e que pudesse acolher os saberes tradicionais e populares. </w:t>
      </w:r>
    </w:p>
    <w:p w:rsidR="004352B1" w:rsidRPr="00920476" w:rsidRDefault="004352B1" w:rsidP="0092047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20476">
        <w:rPr>
          <w:rFonts w:ascii="Calibri" w:hAnsi="Calibri" w:cs="Calibri"/>
          <w:iCs/>
          <w:color w:val="000000"/>
          <w:sz w:val="22"/>
          <w:szCs w:val="22"/>
        </w:rPr>
        <w:t xml:space="preserve">Candeia: I e II Mostra Internacional de Narração Artística </w:t>
      </w:r>
    </w:p>
    <w:p w:rsidR="004352B1" w:rsidRPr="004352B1" w:rsidRDefault="004352B1" w:rsidP="004352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4352B1">
        <w:rPr>
          <w:rFonts w:ascii="Calibri" w:hAnsi="Calibri" w:cs="Calibri"/>
          <w:color w:val="000000"/>
          <w:sz w:val="22"/>
          <w:szCs w:val="22"/>
        </w:rPr>
        <w:t xml:space="preserve">Meta: colocar Minas Gerais no circuito internacional de narração de histórias, promovendo um encontro entre narradores tradicionais do Brasil e de outros países. </w:t>
      </w:r>
    </w:p>
    <w:p w:rsidR="004352B1" w:rsidRPr="00920476" w:rsidRDefault="004352B1" w:rsidP="0092047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20476">
        <w:rPr>
          <w:rFonts w:ascii="Calibri" w:hAnsi="Calibri" w:cs="Calibri"/>
          <w:color w:val="000000"/>
          <w:sz w:val="22"/>
          <w:szCs w:val="22"/>
        </w:rPr>
        <w:t xml:space="preserve">Valorize BH </w:t>
      </w:r>
    </w:p>
    <w:p w:rsidR="004352B1" w:rsidRPr="004352B1" w:rsidRDefault="004352B1" w:rsidP="004352B1">
      <w:pPr>
        <w:autoSpaceDE w:val="0"/>
        <w:autoSpaceDN w:val="0"/>
        <w:adjustRightInd w:val="0"/>
        <w:jc w:val="both"/>
      </w:pPr>
      <w:r w:rsidRPr="004352B1">
        <w:rPr>
          <w:rFonts w:ascii="Calibri" w:hAnsi="Calibri" w:cs="Calibri"/>
          <w:color w:val="000000"/>
          <w:sz w:val="22"/>
          <w:szCs w:val="22"/>
        </w:rPr>
        <w:t xml:space="preserve">Meta: realizar um projeto que unisse cultura, memória e bem estar </w:t>
      </w:r>
    </w:p>
    <w:p w:rsidR="004352B1" w:rsidRPr="00920476" w:rsidRDefault="004352B1" w:rsidP="0092047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20476">
        <w:rPr>
          <w:rFonts w:ascii="Calibri" w:hAnsi="Calibri" w:cs="Calibri"/>
          <w:color w:val="000000"/>
          <w:sz w:val="22"/>
          <w:szCs w:val="22"/>
        </w:rPr>
        <w:t xml:space="preserve">Contos de Lá nos Cantos de Cá </w:t>
      </w:r>
    </w:p>
    <w:p w:rsidR="004352B1" w:rsidRDefault="004352B1" w:rsidP="004352B1">
      <w:pPr>
        <w:autoSpaceDE w:val="0"/>
        <w:autoSpaceDN w:val="0"/>
        <w:adjustRightInd w:val="0"/>
        <w:jc w:val="both"/>
      </w:pPr>
      <w:r w:rsidRPr="004352B1">
        <w:rPr>
          <w:rFonts w:ascii="Calibri" w:hAnsi="Calibri" w:cs="Calibri"/>
          <w:color w:val="000000"/>
          <w:sz w:val="22"/>
          <w:szCs w:val="22"/>
        </w:rPr>
        <w:t xml:space="preserve">Meta: circular Minas Gerais com apresentações de narração de histórias tradicionais e formando multiplicadores nas áreas da memória social, produção cultural e literatura. </w:t>
      </w:r>
    </w:p>
    <w:p w:rsidR="004352B1" w:rsidRDefault="004352B1" w:rsidP="00E97F6B">
      <w:pPr>
        <w:autoSpaceDE w:val="0"/>
        <w:autoSpaceDN w:val="0"/>
        <w:adjustRightInd w:val="0"/>
        <w:jc w:val="both"/>
      </w:pPr>
    </w:p>
    <w:p w:rsidR="009813E5" w:rsidRDefault="00D531D4" w:rsidP="00817B58">
      <w:pPr>
        <w:autoSpaceDE w:val="0"/>
        <w:autoSpaceDN w:val="0"/>
        <w:adjustRightInd w:val="0"/>
        <w:jc w:val="both"/>
      </w:pPr>
      <w:r>
        <w:t>A</w:t>
      </w:r>
      <w:r w:rsidR="0096582F">
        <w:t>s</w:t>
      </w:r>
      <w:r w:rsidR="009813E5">
        <w:t xml:space="preserve"> atividades </w:t>
      </w:r>
      <w:r>
        <w:t xml:space="preserve">apresentadas </w:t>
      </w:r>
      <w:r w:rsidR="009813E5">
        <w:t>contraria</w:t>
      </w:r>
      <w:r w:rsidR="00F95A79">
        <w:t>m</w:t>
      </w:r>
      <w:r w:rsidR="009813E5">
        <w:t xml:space="preserve"> o subite</w:t>
      </w:r>
      <w:r w:rsidR="00F95A79">
        <w:t>m 4.1.3 do edital</w:t>
      </w:r>
      <w:r w:rsidR="009813E5">
        <w:t>:</w:t>
      </w:r>
    </w:p>
    <w:p w:rsidR="009813E5" w:rsidRDefault="009813E5" w:rsidP="00E97F6B">
      <w:pPr>
        <w:autoSpaceDE w:val="0"/>
        <w:autoSpaceDN w:val="0"/>
        <w:adjustRightInd w:val="0"/>
        <w:jc w:val="both"/>
      </w:pPr>
    </w:p>
    <w:p w:rsidR="009813E5" w:rsidRDefault="005D644F" w:rsidP="00E97F6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“</w:t>
      </w:r>
      <w:proofErr w:type="gramStart"/>
      <w:r>
        <w:rPr>
          <w:i/>
          <w:sz w:val="20"/>
          <w:szCs w:val="20"/>
        </w:rPr>
        <w:t>4.1.3. ...</w:t>
      </w:r>
      <w:proofErr w:type="gramEnd"/>
      <w:r>
        <w:rPr>
          <w:i/>
          <w:sz w:val="20"/>
          <w:szCs w:val="20"/>
        </w:rPr>
        <w:t xml:space="preserve">e que não tenham </w:t>
      </w:r>
      <w:r w:rsidRPr="00EC3926">
        <w:rPr>
          <w:b/>
          <w:i/>
          <w:sz w:val="20"/>
          <w:szCs w:val="20"/>
          <w:u w:val="single"/>
        </w:rPr>
        <w:t>projetos finalizados na área de atuação a que se refere esse Chamamento Público</w:t>
      </w:r>
      <w:r>
        <w:rPr>
          <w:i/>
          <w:sz w:val="20"/>
          <w:szCs w:val="20"/>
        </w:rPr>
        <w:t>;</w:t>
      </w:r>
      <w:r w:rsidR="00F95A79">
        <w:rPr>
          <w:i/>
          <w:sz w:val="20"/>
          <w:szCs w:val="20"/>
        </w:rPr>
        <w:t>”.</w:t>
      </w:r>
    </w:p>
    <w:p w:rsidR="00F95A79" w:rsidRPr="00F95A79" w:rsidRDefault="00F95A79" w:rsidP="00E97F6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AB34AE" w:rsidRDefault="00402C69" w:rsidP="00C00263">
      <w:pPr>
        <w:tabs>
          <w:tab w:val="left" w:pos="1418"/>
        </w:tabs>
        <w:spacing w:after="120"/>
        <w:jc w:val="both"/>
      </w:pPr>
      <w:r>
        <w:t>A iniciativa foi inadmitida, uma vez que,</w:t>
      </w:r>
      <w:r w:rsidR="00ED7AD2">
        <w:t xml:space="preserve"> </w:t>
      </w:r>
      <w:r w:rsidR="00D3013B">
        <w:t xml:space="preserve">a </w:t>
      </w:r>
      <w:r w:rsidR="00C13212">
        <w:t xml:space="preserve">proposta submetida para análise está voltada para ações </w:t>
      </w:r>
    </w:p>
    <w:p w:rsidR="00920476" w:rsidRDefault="00817B58" w:rsidP="00C00263">
      <w:pPr>
        <w:tabs>
          <w:tab w:val="left" w:pos="1418"/>
        </w:tabs>
        <w:spacing w:after="120"/>
        <w:jc w:val="both"/>
      </w:pPr>
      <w:proofErr w:type="gramStart"/>
      <w:r w:rsidRPr="00C66568">
        <w:rPr>
          <w:b/>
        </w:rPr>
        <w:lastRenderedPageBreak/>
        <w:t>de</w:t>
      </w:r>
      <w:proofErr w:type="gramEnd"/>
      <w:r>
        <w:t xml:space="preserve"> </w:t>
      </w:r>
      <w:r w:rsidRPr="004F59F0">
        <w:rPr>
          <w:b/>
        </w:rPr>
        <w:t>Memória Social</w:t>
      </w:r>
      <w:r w:rsidR="00C13212">
        <w:t>, que não são objeto desse edital</w:t>
      </w:r>
      <w:r w:rsidR="00920476">
        <w:t>, conforme declarado pelo interessado no formulário de recurso:</w:t>
      </w:r>
    </w:p>
    <w:p w:rsidR="00C1352D" w:rsidRDefault="00C1352D" w:rsidP="00C00263">
      <w:pPr>
        <w:tabs>
          <w:tab w:val="left" w:pos="1418"/>
        </w:tabs>
        <w:spacing w:after="120"/>
        <w:jc w:val="both"/>
      </w:pPr>
      <w:bookmarkStart w:id="0" w:name="_GoBack"/>
      <w:bookmarkEnd w:id="0"/>
    </w:p>
    <w:p w:rsidR="00F95A79" w:rsidRPr="001204B4" w:rsidRDefault="00920476" w:rsidP="001204B4">
      <w:pPr>
        <w:tabs>
          <w:tab w:val="left" w:pos="1418"/>
        </w:tabs>
        <w:spacing w:after="120"/>
        <w:ind w:left="1418"/>
        <w:jc w:val="both"/>
        <w:rPr>
          <w:i/>
        </w:rPr>
      </w:pPr>
      <w:proofErr w:type="gramStart"/>
      <w:r w:rsidRPr="001204B4">
        <w:rPr>
          <w:i/>
        </w:rPr>
        <w:t xml:space="preserve">“ </w:t>
      </w:r>
      <w:proofErr w:type="gramEnd"/>
      <w:r w:rsidRPr="001204B4">
        <w:rPr>
          <w:i/>
        </w:rPr>
        <w:t xml:space="preserve">O Instituto Abrapalavra tem atuação museológica dentro da Museologia Social. Desde 2012 atua junto ao Ponto de Memória do Pompéu, Museu do Ouro de Sabará, Ponto de Memória de </w:t>
      </w:r>
      <w:proofErr w:type="spellStart"/>
      <w:r w:rsidRPr="001204B4">
        <w:rPr>
          <w:i/>
        </w:rPr>
        <w:t>Taquaraçu</w:t>
      </w:r>
      <w:proofErr w:type="spellEnd"/>
      <w:r w:rsidRPr="001204B4">
        <w:rPr>
          <w:i/>
        </w:rPr>
        <w:t xml:space="preserve"> de Baixo...inclusive abrindo ao programação da Teia da Memória...Além disso, </w:t>
      </w:r>
      <w:r w:rsidR="001204B4" w:rsidRPr="001204B4">
        <w:rPr>
          <w:i/>
        </w:rPr>
        <w:t>no Estatuto do Instituto Cultural Abrapalavra está descrito como objeto social – entre outros – o desenvolvimento de projetos de recuperação e preservação do patrimônio imaterial, pesquisar e documentar as manifestações da cultura popular brasileira..</w:t>
      </w:r>
      <w:r w:rsidR="00C13212" w:rsidRPr="001204B4">
        <w:rPr>
          <w:i/>
        </w:rPr>
        <w:t>.</w:t>
      </w:r>
      <w:r w:rsidR="001204B4" w:rsidRPr="001204B4">
        <w:rPr>
          <w:i/>
        </w:rPr>
        <w:t>”</w:t>
      </w:r>
    </w:p>
    <w:p w:rsidR="00C1352D" w:rsidRDefault="00C1352D" w:rsidP="003D1B94">
      <w:pPr>
        <w:tabs>
          <w:tab w:val="left" w:pos="1418"/>
        </w:tabs>
        <w:spacing w:after="120"/>
        <w:jc w:val="both"/>
      </w:pPr>
    </w:p>
    <w:p w:rsidR="00DA21DE" w:rsidRDefault="006D4970" w:rsidP="00DA21DE">
      <w:pPr>
        <w:tabs>
          <w:tab w:val="left" w:pos="426"/>
        </w:tabs>
        <w:autoSpaceDE w:val="0"/>
        <w:autoSpaceDN w:val="0"/>
        <w:adjustRightInd w:val="0"/>
        <w:spacing w:before="120"/>
        <w:jc w:val="both"/>
      </w:pPr>
      <w:r>
        <w:t>A equipe técnica realizou a revisão do Anexo I e da documentação encaminhada e manteve a inadmissibilidade, uma vez que as ações inscritas se coadunam com o objeto de outro edital integrante do Programa de Fomento.</w:t>
      </w:r>
    </w:p>
    <w:p w:rsidR="006D4970" w:rsidRPr="00DA21DE" w:rsidRDefault="006D4970" w:rsidP="00DA21DE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sz w:val="8"/>
          <w:szCs w:val="8"/>
        </w:rPr>
      </w:pPr>
    </w:p>
    <w:p w:rsidR="00BE381A" w:rsidRDefault="00A77B19" w:rsidP="00BE381A">
      <w:pPr>
        <w:rPr>
          <w:b/>
        </w:rPr>
      </w:pPr>
      <w:r>
        <w:rPr>
          <w:b/>
        </w:rPr>
        <w:t>Conclusão</w:t>
      </w:r>
      <w:r w:rsidR="00BE381A" w:rsidRPr="002C48A5">
        <w:rPr>
          <w:b/>
        </w:rPr>
        <w:t>:</w:t>
      </w:r>
    </w:p>
    <w:p w:rsidR="00BE381A" w:rsidRDefault="00BE381A" w:rsidP="00BE381A">
      <w:pPr>
        <w:rPr>
          <w:b/>
        </w:rPr>
      </w:pPr>
    </w:p>
    <w:p w:rsidR="00C13212" w:rsidRDefault="006214AB" w:rsidP="00C13212">
      <w:pPr>
        <w:tabs>
          <w:tab w:val="left" w:pos="1418"/>
        </w:tabs>
        <w:spacing w:after="120"/>
        <w:jc w:val="both"/>
      </w:pPr>
      <w:r>
        <w:t>Considerando que</w:t>
      </w:r>
      <w:r w:rsidR="000B4A8C">
        <w:t xml:space="preserve"> </w:t>
      </w:r>
      <w:r w:rsidR="00C13212">
        <w:t>as atividades apresentadas contrariam o subitem 4.1.3 do edital:</w:t>
      </w:r>
    </w:p>
    <w:p w:rsidR="00C13212" w:rsidRDefault="00C13212" w:rsidP="00C1321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“</w:t>
      </w:r>
      <w:proofErr w:type="gramStart"/>
      <w:r>
        <w:rPr>
          <w:i/>
          <w:sz w:val="20"/>
          <w:szCs w:val="20"/>
        </w:rPr>
        <w:t>4.1.3. ...</w:t>
      </w:r>
      <w:proofErr w:type="gramEnd"/>
      <w:r>
        <w:rPr>
          <w:i/>
          <w:sz w:val="20"/>
          <w:szCs w:val="20"/>
        </w:rPr>
        <w:t xml:space="preserve">e que não tenham </w:t>
      </w:r>
      <w:r w:rsidRPr="00EC3926">
        <w:rPr>
          <w:b/>
          <w:i/>
          <w:sz w:val="20"/>
          <w:szCs w:val="20"/>
          <w:u w:val="single"/>
        </w:rPr>
        <w:t>projetos finalizados na área de atuação a que se refere esse Chamamento Público</w:t>
      </w:r>
      <w:r>
        <w:rPr>
          <w:i/>
          <w:sz w:val="20"/>
          <w:szCs w:val="20"/>
        </w:rPr>
        <w:t>;”.</w:t>
      </w:r>
    </w:p>
    <w:p w:rsidR="00A777B0" w:rsidRDefault="00FB6C9F" w:rsidP="00402C69">
      <w:pPr>
        <w:tabs>
          <w:tab w:val="left" w:pos="1418"/>
        </w:tabs>
        <w:spacing w:after="120"/>
        <w:jc w:val="both"/>
      </w:pPr>
      <w:r>
        <w:t>Pelos motivos elencados acima,</w:t>
      </w:r>
      <w:r w:rsidR="00402C69">
        <w:t xml:space="preserve"> </w:t>
      </w:r>
      <w:r w:rsidR="00B36A5D">
        <w:t>mantemos a inadmissibilidade da proposta.</w:t>
      </w:r>
    </w:p>
    <w:sectPr w:rsidR="00A777B0" w:rsidSect="00EC31D8">
      <w:headerReference w:type="default" r:id="rId7"/>
      <w:pgSz w:w="12240" w:h="15840"/>
      <w:pgMar w:top="1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AB1" w:rsidRDefault="00517AB1" w:rsidP="00FC0DD1">
      <w:r>
        <w:separator/>
      </w:r>
    </w:p>
  </w:endnote>
  <w:endnote w:type="continuationSeparator" w:id="0">
    <w:p w:rsidR="00517AB1" w:rsidRDefault="00517AB1" w:rsidP="00FC0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AB1" w:rsidRDefault="00517AB1" w:rsidP="00FC0DD1">
      <w:r>
        <w:separator/>
      </w:r>
    </w:p>
  </w:footnote>
  <w:footnote w:type="continuationSeparator" w:id="0">
    <w:p w:rsidR="00517AB1" w:rsidRDefault="00517AB1" w:rsidP="00FC0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3403"/>
      <w:gridCol w:w="6237"/>
    </w:tblGrid>
    <w:tr w:rsidR="00517AB1" w:rsidTr="00747CA9">
      <w:trPr>
        <w:trHeight w:val="1406"/>
      </w:trPr>
      <w:tc>
        <w:tcPr>
          <w:tcW w:w="3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17AB1" w:rsidRDefault="00517AB1" w:rsidP="00FC0DD1">
          <w:pPr>
            <w:spacing w:line="276" w:lineRule="auto"/>
            <w:jc w:val="center"/>
            <w:rPr>
              <w:lang w:eastAsia="en-US"/>
            </w:rPr>
          </w:pPr>
          <w:r>
            <w:rPr>
              <w:lang w:eastAsia="en-US"/>
            </w:rPr>
            <w:t>M i n i s t é r i o d a C u l t u r a</w:t>
          </w:r>
        </w:p>
        <w:p w:rsidR="00517AB1" w:rsidRDefault="00517AB1" w:rsidP="00FC0DD1">
          <w:pPr>
            <w:spacing w:line="276" w:lineRule="auto"/>
            <w:jc w:val="center"/>
            <w:rPr>
              <w:lang w:eastAsia="en-US"/>
            </w:rPr>
          </w:pPr>
          <w:r w:rsidRPr="00E9276B">
            <w:rPr>
              <w:lang w:eastAsia="en-US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9.5pt;height:45.75pt" o:ole="">
                <v:imagedata r:id="rId1" o:title=""/>
              </v:shape>
              <o:OLEObject Type="Embed" ProgID="CorelDRAW.Graphic.11" ShapeID="_x0000_i1025" DrawAspect="Content" ObjectID="_1600682286" r:id="rId2"/>
            </w:object>
          </w: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17AB1" w:rsidRPr="00B30011" w:rsidRDefault="00517AB1" w:rsidP="00FC0DD1">
          <w:pPr>
            <w:pStyle w:val="Cabealho"/>
            <w:jc w:val="center"/>
            <w:rPr>
              <w:b/>
              <w:bCs/>
              <w:sz w:val="22"/>
              <w:szCs w:val="22"/>
            </w:rPr>
          </w:pPr>
        </w:p>
        <w:p w:rsidR="00517AB1" w:rsidRPr="00B30011" w:rsidRDefault="00517AB1" w:rsidP="00FC0DD1">
          <w:pPr>
            <w:pStyle w:val="Cabealho"/>
            <w:jc w:val="center"/>
            <w:rPr>
              <w:b/>
              <w:sz w:val="22"/>
              <w:szCs w:val="22"/>
            </w:rPr>
          </w:pPr>
          <w:r w:rsidRPr="00B30011">
            <w:rPr>
              <w:b/>
              <w:bCs/>
              <w:sz w:val="22"/>
              <w:szCs w:val="22"/>
            </w:rPr>
            <w:t>I</w:t>
          </w:r>
          <w:r w:rsidRPr="00B30011">
            <w:rPr>
              <w:b/>
              <w:sz w:val="22"/>
              <w:szCs w:val="22"/>
            </w:rPr>
            <w:t>nstituto</w:t>
          </w:r>
          <w:r w:rsidRPr="00B30011">
            <w:rPr>
              <w:b/>
              <w:bCs/>
              <w:sz w:val="22"/>
              <w:szCs w:val="22"/>
            </w:rPr>
            <w:t xml:space="preserve"> Brasileiro de Museus</w:t>
          </w:r>
        </w:p>
        <w:p w:rsidR="00517AB1" w:rsidRPr="00D10C7A" w:rsidRDefault="00517AB1" w:rsidP="00FC0DD1">
          <w:pPr>
            <w:jc w:val="center"/>
            <w:rPr>
              <w:b/>
              <w:sz w:val="22"/>
              <w:szCs w:val="22"/>
            </w:rPr>
          </w:pPr>
          <w:r w:rsidRPr="00D10C7A">
            <w:rPr>
              <w:b/>
              <w:sz w:val="22"/>
              <w:szCs w:val="22"/>
            </w:rPr>
            <w:t>Departamento de Difusão, Fomento e Economia dos Museus</w:t>
          </w:r>
        </w:p>
        <w:p w:rsidR="00517AB1" w:rsidRDefault="00517AB1" w:rsidP="00FC0DD1">
          <w:pPr>
            <w:jc w:val="center"/>
            <w:rPr>
              <w:b/>
            </w:rPr>
          </w:pPr>
        </w:p>
        <w:p w:rsidR="00517AB1" w:rsidRDefault="00517AB1" w:rsidP="00FC0DD1">
          <w:pPr>
            <w:pStyle w:val="Ttulo1"/>
            <w:rPr>
              <w:rFonts w:ascii="Calibri" w:hAnsi="Calibri" w:cs="Calibri"/>
              <w:lang w:eastAsia="en-US"/>
            </w:rPr>
          </w:pPr>
          <w:r>
            <w:t>ANÁLISE DE RECURSOS</w:t>
          </w:r>
        </w:p>
      </w:tc>
    </w:tr>
    <w:tr w:rsidR="00517AB1" w:rsidTr="00EC31D8">
      <w:trPr>
        <w:trHeight w:val="968"/>
      </w:trPr>
      <w:tc>
        <w:tcPr>
          <w:tcW w:w="96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17AB1" w:rsidRPr="00B30011" w:rsidRDefault="00517AB1" w:rsidP="009D6C73">
          <w:pPr>
            <w:pStyle w:val="Ttulo2"/>
            <w:jc w:val="left"/>
            <w:rPr>
              <w:rFonts w:ascii="Times New Roman" w:hAnsi="Times New Roman"/>
            </w:rPr>
          </w:pPr>
          <w:r w:rsidRPr="00B30011">
            <w:rPr>
              <w:rFonts w:ascii="Times New Roman" w:hAnsi="Times New Roman"/>
            </w:rPr>
            <w:t>Processo: 01415.001417/2018-18</w:t>
          </w:r>
        </w:p>
        <w:p w:rsidR="00517AB1" w:rsidRPr="00F33210" w:rsidRDefault="00517AB1" w:rsidP="00DC1AE4">
          <w:pPr>
            <w:rPr>
              <w:b/>
              <w:sz w:val="22"/>
              <w:szCs w:val="22"/>
            </w:rPr>
          </w:pPr>
          <w:r w:rsidRPr="00DC1AE4">
            <w:rPr>
              <w:b/>
            </w:rPr>
            <w:t>Interessado:</w:t>
          </w:r>
          <w:r>
            <w:t xml:space="preserve"> </w:t>
          </w:r>
          <w:r w:rsidRPr="00F33210">
            <w:rPr>
              <w:sz w:val="22"/>
              <w:szCs w:val="22"/>
            </w:rPr>
            <w:t>Departamento de Difusão, Fomento e Economia dos Museus</w:t>
          </w:r>
        </w:p>
        <w:p w:rsidR="00517AB1" w:rsidRPr="00BA168E" w:rsidRDefault="00517AB1" w:rsidP="00345763">
          <w:pPr>
            <w:tabs>
              <w:tab w:val="left" w:pos="1418"/>
            </w:tabs>
            <w:spacing w:after="120"/>
            <w:jc w:val="both"/>
          </w:pPr>
          <w:r w:rsidRPr="00075134">
            <w:rPr>
              <w:b/>
            </w:rPr>
            <w:t>Assunto:</w:t>
          </w:r>
          <w:r>
            <w:t xml:space="preserve"> Edital Prêmio Modernização de Museus - 2018</w:t>
          </w:r>
        </w:p>
      </w:tc>
    </w:tr>
  </w:tbl>
  <w:p w:rsidR="00517AB1" w:rsidRDefault="00517A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38B"/>
    <w:multiLevelType w:val="hybridMultilevel"/>
    <w:tmpl w:val="3710B0FE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299C137D"/>
    <w:multiLevelType w:val="hybridMultilevel"/>
    <w:tmpl w:val="D1A41D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C3C65"/>
    <w:multiLevelType w:val="hybridMultilevel"/>
    <w:tmpl w:val="504AA3E2"/>
    <w:lvl w:ilvl="0" w:tplc="0416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2" w:hanging="360"/>
      </w:pPr>
    </w:lvl>
    <w:lvl w:ilvl="2" w:tplc="0416001B" w:tentative="1">
      <w:start w:val="1"/>
      <w:numFmt w:val="lowerRoman"/>
      <w:lvlText w:val="%3."/>
      <w:lvlJc w:val="right"/>
      <w:pPr>
        <w:ind w:left="4992" w:hanging="180"/>
      </w:pPr>
    </w:lvl>
    <w:lvl w:ilvl="3" w:tplc="0416000F" w:tentative="1">
      <w:start w:val="1"/>
      <w:numFmt w:val="decimal"/>
      <w:lvlText w:val="%4."/>
      <w:lvlJc w:val="left"/>
      <w:pPr>
        <w:ind w:left="5712" w:hanging="360"/>
      </w:pPr>
    </w:lvl>
    <w:lvl w:ilvl="4" w:tplc="04160019" w:tentative="1">
      <w:start w:val="1"/>
      <w:numFmt w:val="lowerLetter"/>
      <w:lvlText w:val="%5."/>
      <w:lvlJc w:val="left"/>
      <w:pPr>
        <w:ind w:left="6432" w:hanging="360"/>
      </w:pPr>
    </w:lvl>
    <w:lvl w:ilvl="5" w:tplc="0416001B" w:tentative="1">
      <w:start w:val="1"/>
      <w:numFmt w:val="lowerRoman"/>
      <w:lvlText w:val="%6."/>
      <w:lvlJc w:val="right"/>
      <w:pPr>
        <w:ind w:left="7152" w:hanging="180"/>
      </w:pPr>
    </w:lvl>
    <w:lvl w:ilvl="6" w:tplc="0416000F" w:tentative="1">
      <w:start w:val="1"/>
      <w:numFmt w:val="decimal"/>
      <w:lvlText w:val="%7."/>
      <w:lvlJc w:val="left"/>
      <w:pPr>
        <w:ind w:left="7872" w:hanging="360"/>
      </w:pPr>
    </w:lvl>
    <w:lvl w:ilvl="7" w:tplc="04160019" w:tentative="1">
      <w:start w:val="1"/>
      <w:numFmt w:val="lowerLetter"/>
      <w:lvlText w:val="%8."/>
      <w:lvlJc w:val="left"/>
      <w:pPr>
        <w:ind w:left="8592" w:hanging="360"/>
      </w:pPr>
    </w:lvl>
    <w:lvl w:ilvl="8" w:tplc="0416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>
    <w:nsid w:val="32E667FF"/>
    <w:multiLevelType w:val="hybridMultilevel"/>
    <w:tmpl w:val="5E682C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87496"/>
    <w:multiLevelType w:val="hybridMultilevel"/>
    <w:tmpl w:val="862A9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B1EB4"/>
    <w:multiLevelType w:val="hybridMultilevel"/>
    <w:tmpl w:val="29E46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551F6"/>
    <w:multiLevelType w:val="hybridMultilevel"/>
    <w:tmpl w:val="FEF6AC70"/>
    <w:lvl w:ilvl="0" w:tplc="04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4DB96BD4"/>
    <w:multiLevelType w:val="hybridMultilevel"/>
    <w:tmpl w:val="F0A82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934F2"/>
    <w:multiLevelType w:val="hybridMultilevel"/>
    <w:tmpl w:val="9E48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A5DC6"/>
    <w:multiLevelType w:val="hybridMultilevel"/>
    <w:tmpl w:val="7A58183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19C50C0"/>
    <w:multiLevelType w:val="hybridMultilevel"/>
    <w:tmpl w:val="244AA2F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D4314"/>
    <w:rsid w:val="00012F33"/>
    <w:rsid w:val="000206CD"/>
    <w:rsid w:val="00030F10"/>
    <w:rsid w:val="000416A8"/>
    <w:rsid w:val="00045142"/>
    <w:rsid w:val="00075134"/>
    <w:rsid w:val="000769E8"/>
    <w:rsid w:val="000A0D40"/>
    <w:rsid w:val="000A2F54"/>
    <w:rsid w:val="000B4A8C"/>
    <w:rsid w:val="000B5821"/>
    <w:rsid w:val="000B78F6"/>
    <w:rsid w:val="000C7F6F"/>
    <w:rsid w:val="000F35EA"/>
    <w:rsid w:val="000F5B82"/>
    <w:rsid w:val="000F6630"/>
    <w:rsid w:val="000F6917"/>
    <w:rsid w:val="000F71C3"/>
    <w:rsid w:val="000F7EF6"/>
    <w:rsid w:val="001204B4"/>
    <w:rsid w:val="00135E11"/>
    <w:rsid w:val="00156C73"/>
    <w:rsid w:val="001604BC"/>
    <w:rsid w:val="001629ED"/>
    <w:rsid w:val="00165465"/>
    <w:rsid w:val="0017295F"/>
    <w:rsid w:val="0017349F"/>
    <w:rsid w:val="0017532D"/>
    <w:rsid w:val="00186F2B"/>
    <w:rsid w:val="00192866"/>
    <w:rsid w:val="001929B5"/>
    <w:rsid w:val="001B0141"/>
    <w:rsid w:val="001B2FA8"/>
    <w:rsid w:val="001B36AA"/>
    <w:rsid w:val="001B7722"/>
    <w:rsid w:val="001D67E1"/>
    <w:rsid w:val="00201873"/>
    <w:rsid w:val="00205161"/>
    <w:rsid w:val="00206B1D"/>
    <w:rsid w:val="00213DB7"/>
    <w:rsid w:val="0024177D"/>
    <w:rsid w:val="00242E62"/>
    <w:rsid w:val="002454A8"/>
    <w:rsid w:val="00251134"/>
    <w:rsid w:val="002535D5"/>
    <w:rsid w:val="00256244"/>
    <w:rsid w:val="00267417"/>
    <w:rsid w:val="002779A8"/>
    <w:rsid w:val="00281E9E"/>
    <w:rsid w:val="002A58EC"/>
    <w:rsid w:val="002B2353"/>
    <w:rsid w:val="002C48A5"/>
    <w:rsid w:val="003053BE"/>
    <w:rsid w:val="00321A97"/>
    <w:rsid w:val="00330DD5"/>
    <w:rsid w:val="003328E9"/>
    <w:rsid w:val="00332BBE"/>
    <w:rsid w:val="00337E2F"/>
    <w:rsid w:val="003443E4"/>
    <w:rsid w:val="00345763"/>
    <w:rsid w:val="0035409D"/>
    <w:rsid w:val="0035419A"/>
    <w:rsid w:val="003667A3"/>
    <w:rsid w:val="00367B40"/>
    <w:rsid w:val="003B1C49"/>
    <w:rsid w:val="003C0280"/>
    <w:rsid w:val="003C05FE"/>
    <w:rsid w:val="003C6E66"/>
    <w:rsid w:val="003D1B94"/>
    <w:rsid w:val="003D7558"/>
    <w:rsid w:val="003F4369"/>
    <w:rsid w:val="00402C69"/>
    <w:rsid w:val="004233BB"/>
    <w:rsid w:val="00423DF9"/>
    <w:rsid w:val="004352B1"/>
    <w:rsid w:val="004359A7"/>
    <w:rsid w:val="00477347"/>
    <w:rsid w:val="00495124"/>
    <w:rsid w:val="004A05BF"/>
    <w:rsid w:val="004A6482"/>
    <w:rsid w:val="004B6E93"/>
    <w:rsid w:val="004C01F8"/>
    <w:rsid w:val="004C02FA"/>
    <w:rsid w:val="004C16EB"/>
    <w:rsid w:val="004D2EDD"/>
    <w:rsid w:val="004E2BCB"/>
    <w:rsid w:val="004E4D5D"/>
    <w:rsid w:val="004E5F4B"/>
    <w:rsid w:val="004F59F0"/>
    <w:rsid w:val="004F787B"/>
    <w:rsid w:val="005061AD"/>
    <w:rsid w:val="00507BD3"/>
    <w:rsid w:val="0051176A"/>
    <w:rsid w:val="00517AB1"/>
    <w:rsid w:val="00520E14"/>
    <w:rsid w:val="0053543B"/>
    <w:rsid w:val="0054504D"/>
    <w:rsid w:val="00551CD4"/>
    <w:rsid w:val="005752D0"/>
    <w:rsid w:val="005A4303"/>
    <w:rsid w:val="005B1008"/>
    <w:rsid w:val="005B2EBD"/>
    <w:rsid w:val="005B5994"/>
    <w:rsid w:val="005C0438"/>
    <w:rsid w:val="005C6DD2"/>
    <w:rsid w:val="005D21BE"/>
    <w:rsid w:val="005D644F"/>
    <w:rsid w:val="005E0593"/>
    <w:rsid w:val="005E590B"/>
    <w:rsid w:val="005F0AF6"/>
    <w:rsid w:val="005F10DB"/>
    <w:rsid w:val="005F4F82"/>
    <w:rsid w:val="005F6820"/>
    <w:rsid w:val="00600CF2"/>
    <w:rsid w:val="00601348"/>
    <w:rsid w:val="00603677"/>
    <w:rsid w:val="00611D9A"/>
    <w:rsid w:val="006143B3"/>
    <w:rsid w:val="006214AB"/>
    <w:rsid w:val="00624625"/>
    <w:rsid w:val="00636356"/>
    <w:rsid w:val="00637795"/>
    <w:rsid w:val="00637DA9"/>
    <w:rsid w:val="00644724"/>
    <w:rsid w:val="006478A8"/>
    <w:rsid w:val="006478E8"/>
    <w:rsid w:val="00655DC2"/>
    <w:rsid w:val="00683C38"/>
    <w:rsid w:val="00686549"/>
    <w:rsid w:val="0069105B"/>
    <w:rsid w:val="00695F3F"/>
    <w:rsid w:val="006A4827"/>
    <w:rsid w:val="006B29C5"/>
    <w:rsid w:val="006B2C88"/>
    <w:rsid w:val="006C08AE"/>
    <w:rsid w:val="006C67B9"/>
    <w:rsid w:val="006D1C87"/>
    <w:rsid w:val="006D4970"/>
    <w:rsid w:val="006E4E03"/>
    <w:rsid w:val="006E6AC1"/>
    <w:rsid w:val="006F0994"/>
    <w:rsid w:val="006F0F46"/>
    <w:rsid w:val="00700B68"/>
    <w:rsid w:val="00703624"/>
    <w:rsid w:val="007120A1"/>
    <w:rsid w:val="00717F57"/>
    <w:rsid w:val="0072070F"/>
    <w:rsid w:val="00747CA9"/>
    <w:rsid w:val="00753B41"/>
    <w:rsid w:val="007920BA"/>
    <w:rsid w:val="007D2DB4"/>
    <w:rsid w:val="007D346F"/>
    <w:rsid w:val="007D4FAC"/>
    <w:rsid w:val="007E7AF2"/>
    <w:rsid w:val="007F181C"/>
    <w:rsid w:val="007F763D"/>
    <w:rsid w:val="00800CCD"/>
    <w:rsid w:val="00817B58"/>
    <w:rsid w:val="00826E1A"/>
    <w:rsid w:val="00840348"/>
    <w:rsid w:val="00850A65"/>
    <w:rsid w:val="00854880"/>
    <w:rsid w:val="00871142"/>
    <w:rsid w:val="00880F3A"/>
    <w:rsid w:val="008877F0"/>
    <w:rsid w:val="008923FD"/>
    <w:rsid w:val="008A0C66"/>
    <w:rsid w:val="008C0AA3"/>
    <w:rsid w:val="008C67A6"/>
    <w:rsid w:val="008F5AF9"/>
    <w:rsid w:val="009039EE"/>
    <w:rsid w:val="00920476"/>
    <w:rsid w:val="00921571"/>
    <w:rsid w:val="00925E3C"/>
    <w:rsid w:val="00934099"/>
    <w:rsid w:val="00943421"/>
    <w:rsid w:val="009522B2"/>
    <w:rsid w:val="00954032"/>
    <w:rsid w:val="00960223"/>
    <w:rsid w:val="0096582F"/>
    <w:rsid w:val="00977C20"/>
    <w:rsid w:val="009813E5"/>
    <w:rsid w:val="009817D7"/>
    <w:rsid w:val="00994EBD"/>
    <w:rsid w:val="009978A7"/>
    <w:rsid w:val="009A02B2"/>
    <w:rsid w:val="009B4531"/>
    <w:rsid w:val="009B7D9A"/>
    <w:rsid w:val="009C174E"/>
    <w:rsid w:val="009D6C73"/>
    <w:rsid w:val="009E036A"/>
    <w:rsid w:val="009E20D4"/>
    <w:rsid w:val="009F243A"/>
    <w:rsid w:val="009F62C8"/>
    <w:rsid w:val="00A05221"/>
    <w:rsid w:val="00A3407C"/>
    <w:rsid w:val="00A36C57"/>
    <w:rsid w:val="00A42E80"/>
    <w:rsid w:val="00A45435"/>
    <w:rsid w:val="00A50BEA"/>
    <w:rsid w:val="00A54079"/>
    <w:rsid w:val="00A5519B"/>
    <w:rsid w:val="00A656A1"/>
    <w:rsid w:val="00A74E01"/>
    <w:rsid w:val="00A777B0"/>
    <w:rsid w:val="00A77B19"/>
    <w:rsid w:val="00A816AC"/>
    <w:rsid w:val="00AA6FF9"/>
    <w:rsid w:val="00AB143D"/>
    <w:rsid w:val="00AB34AE"/>
    <w:rsid w:val="00AC7232"/>
    <w:rsid w:val="00AE0D0C"/>
    <w:rsid w:val="00AE4C8C"/>
    <w:rsid w:val="00AE4FCF"/>
    <w:rsid w:val="00AE79C7"/>
    <w:rsid w:val="00AF25C4"/>
    <w:rsid w:val="00AF5165"/>
    <w:rsid w:val="00B11677"/>
    <w:rsid w:val="00B15110"/>
    <w:rsid w:val="00B15820"/>
    <w:rsid w:val="00B15FFD"/>
    <w:rsid w:val="00B16CEF"/>
    <w:rsid w:val="00B2132E"/>
    <w:rsid w:val="00B30011"/>
    <w:rsid w:val="00B34877"/>
    <w:rsid w:val="00B36A5D"/>
    <w:rsid w:val="00B41FCC"/>
    <w:rsid w:val="00B6673D"/>
    <w:rsid w:val="00B70836"/>
    <w:rsid w:val="00B847FB"/>
    <w:rsid w:val="00B86990"/>
    <w:rsid w:val="00B91E96"/>
    <w:rsid w:val="00B92316"/>
    <w:rsid w:val="00B96AD9"/>
    <w:rsid w:val="00BA168E"/>
    <w:rsid w:val="00BC1484"/>
    <w:rsid w:val="00BE381A"/>
    <w:rsid w:val="00BE64EF"/>
    <w:rsid w:val="00BF120D"/>
    <w:rsid w:val="00BF1D8B"/>
    <w:rsid w:val="00BF44AD"/>
    <w:rsid w:val="00BF6E53"/>
    <w:rsid w:val="00C00263"/>
    <w:rsid w:val="00C024D2"/>
    <w:rsid w:val="00C110D4"/>
    <w:rsid w:val="00C13212"/>
    <w:rsid w:val="00C1352D"/>
    <w:rsid w:val="00C263F2"/>
    <w:rsid w:val="00C4211A"/>
    <w:rsid w:val="00C46FD0"/>
    <w:rsid w:val="00C57CE2"/>
    <w:rsid w:val="00C62668"/>
    <w:rsid w:val="00C62F79"/>
    <w:rsid w:val="00C64B2C"/>
    <w:rsid w:val="00C657E7"/>
    <w:rsid w:val="00C66568"/>
    <w:rsid w:val="00C9263A"/>
    <w:rsid w:val="00CB5FE8"/>
    <w:rsid w:val="00CF25BF"/>
    <w:rsid w:val="00D2410B"/>
    <w:rsid w:val="00D26E07"/>
    <w:rsid w:val="00D3013B"/>
    <w:rsid w:val="00D305F0"/>
    <w:rsid w:val="00D31066"/>
    <w:rsid w:val="00D422FF"/>
    <w:rsid w:val="00D42526"/>
    <w:rsid w:val="00D531D4"/>
    <w:rsid w:val="00D54E03"/>
    <w:rsid w:val="00D67AFD"/>
    <w:rsid w:val="00D7740A"/>
    <w:rsid w:val="00D84BCE"/>
    <w:rsid w:val="00D93170"/>
    <w:rsid w:val="00DA21DE"/>
    <w:rsid w:val="00DA5123"/>
    <w:rsid w:val="00DB3DDB"/>
    <w:rsid w:val="00DC12D7"/>
    <w:rsid w:val="00DC1AE4"/>
    <w:rsid w:val="00DD11C3"/>
    <w:rsid w:val="00DD4314"/>
    <w:rsid w:val="00DE7CD1"/>
    <w:rsid w:val="00DF6F0C"/>
    <w:rsid w:val="00E0236F"/>
    <w:rsid w:val="00E108F2"/>
    <w:rsid w:val="00E36D3E"/>
    <w:rsid w:val="00E37375"/>
    <w:rsid w:val="00E4315E"/>
    <w:rsid w:val="00E55326"/>
    <w:rsid w:val="00E6293C"/>
    <w:rsid w:val="00E648D2"/>
    <w:rsid w:val="00E70BF3"/>
    <w:rsid w:val="00E735F6"/>
    <w:rsid w:val="00E90C72"/>
    <w:rsid w:val="00E97F6B"/>
    <w:rsid w:val="00EA2F29"/>
    <w:rsid w:val="00EA6043"/>
    <w:rsid w:val="00EB2F35"/>
    <w:rsid w:val="00EC05EA"/>
    <w:rsid w:val="00EC1CA6"/>
    <w:rsid w:val="00EC31D8"/>
    <w:rsid w:val="00EC3926"/>
    <w:rsid w:val="00ED2589"/>
    <w:rsid w:val="00ED572B"/>
    <w:rsid w:val="00ED5B6F"/>
    <w:rsid w:val="00ED7AD2"/>
    <w:rsid w:val="00EE3397"/>
    <w:rsid w:val="00EE45BE"/>
    <w:rsid w:val="00EF43AF"/>
    <w:rsid w:val="00F02F1D"/>
    <w:rsid w:val="00F032A4"/>
    <w:rsid w:val="00F0689D"/>
    <w:rsid w:val="00F232F2"/>
    <w:rsid w:val="00F35599"/>
    <w:rsid w:val="00F40396"/>
    <w:rsid w:val="00F406A5"/>
    <w:rsid w:val="00F66499"/>
    <w:rsid w:val="00F710BB"/>
    <w:rsid w:val="00F95A79"/>
    <w:rsid w:val="00F95CA3"/>
    <w:rsid w:val="00FA1C89"/>
    <w:rsid w:val="00FB6C9F"/>
    <w:rsid w:val="00FB79BF"/>
    <w:rsid w:val="00FC0DD1"/>
    <w:rsid w:val="00FC64AD"/>
    <w:rsid w:val="00FE64B8"/>
    <w:rsid w:val="00FE7418"/>
    <w:rsid w:val="00FF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40"/>
    <w:rPr>
      <w:sz w:val="24"/>
      <w:szCs w:val="24"/>
    </w:rPr>
  </w:style>
  <w:style w:type="paragraph" w:styleId="Ttulo1">
    <w:name w:val="heading 1"/>
    <w:basedOn w:val="Normal"/>
    <w:next w:val="Normal"/>
    <w:qFormat/>
    <w:rsid w:val="00367B40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367B40"/>
    <w:pPr>
      <w:keepNext/>
      <w:jc w:val="right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367B40"/>
    <w:pPr>
      <w:keepNext/>
      <w:outlineLvl w:val="2"/>
    </w:pPr>
    <w:rPr>
      <w:rFonts w:ascii="Garamond" w:hAnsi="Garamond" w:cs="Arial"/>
      <w:b/>
      <w:bCs/>
      <w:sz w:val="28"/>
    </w:rPr>
  </w:style>
  <w:style w:type="paragraph" w:styleId="Ttulo4">
    <w:name w:val="heading 4"/>
    <w:basedOn w:val="Normal"/>
    <w:next w:val="Normal"/>
    <w:qFormat/>
    <w:rsid w:val="00367B40"/>
    <w:pPr>
      <w:keepNext/>
      <w:outlineLvl w:val="3"/>
    </w:pPr>
    <w:rPr>
      <w:rFonts w:ascii="Garamond" w:hAnsi="Garamond"/>
      <w:b/>
      <w:bCs/>
    </w:rPr>
  </w:style>
  <w:style w:type="paragraph" w:styleId="Ttulo5">
    <w:name w:val="heading 5"/>
    <w:basedOn w:val="Normal"/>
    <w:next w:val="Normal"/>
    <w:qFormat/>
    <w:rsid w:val="00367B40"/>
    <w:pPr>
      <w:keepNext/>
      <w:outlineLvl w:val="4"/>
    </w:pPr>
    <w:rPr>
      <w:rFonts w:ascii="Garamond" w:hAnsi="Garamond"/>
      <w:b/>
      <w:bCs/>
      <w:sz w:val="22"/>
    </w:rPr>
  </w:style>
  <w:style w:type="paragraph" w:styleId="Ttulo6">
    <w:name w:val="heading 6"/>
    <w:basedOn w:val="Normal"/>
    <w:next w:val="Normal"/>
    <w:link w:val="Ttulo6Char"/>
    <w:qFormat/>
    <w:rsid w:val="00367B40"/>
    <w:pPr>
      <w:keepNext/>
      <w:jc w:val="right"/>
      <w:outlineLvl w:val="5"/>
    </w:pPr>
    <w:rPr>
      <w:rFonts w:ascii="Garamond" w:hAnsi="Garamond"/>
      <w:b/>
      <w:bCs/>
      <w:sz w:val="16"/>
    </w:rPr>
  </w:style>
  <w:style w:type="paragraph" w:styleId="Ttulo7">
    <w:name w:val="heading 7"/>
    <w:basedOn w:val="Normal"/>
    <w:next w:val="Normal"/>
    <w:qFormat/>
    <w:rsid w:val="00367B40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367B40"/>
    <w:pPr>
      <w:jc w:val="both"/>
    </w:pPr>
    <w:rPr>
      <w:rFonts w:ascii="Garamond" w:hAnsi="Garamond"/>
    </w:rPr>
  </w:style>
  <w:style w:type="paragraph" w:styleId="Textodebalo">
    <w:name w:val="Balloon Text"/>
    <w:basedOn w:val="Normal"/>
    <w:semiHidden/>
    <w:rsid w:val="00367B4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67B40"/>
    <w:pPr>
      <w:tabs>
        <w:tab w:val="center" w:pos="4419"/>
        <w:tab w:val="right" w:pos="8838"/>
      </w:tabs>
    </w:pPr>
  </w:style>
  <w:style w:type="character" w:customStyle="1" w:styleId="Ttulo2Char">
    <w:name w:val="Título 2 Char"/>
    <w:link w:val="Ttulo2"/>
    <w:rsid w:val="009A02B2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9A02B2"/>
    <w:rPr>
      <w:rFonts w:ascii="Garamond" w:hAnsi="Garamond"/>
      <w:b/>
      <w:bCs/>
      <w:sz w:val="16"/>
      <w:szCs w:val="24"/>
    </w:rPr>
  </w:style>
  <w:style w:type="character" w:customStyle="1" w:styleId="CorpodetextoChar">
    <w:name w:val="Corpo de texto Char"/>
    <w:link w:val="Corpodetexto"/>
    <w:semiHidden/>
    <w:rsid w:val="009A02B2"/>
    <w:rPr>
      <w:rFonts w:ascii="Garamond" w:hAnsi="Garamond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C0D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C0DD1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FC0DD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16AC"/>
    <w:pPr>
      <w:spacing w:before="100" w:beforeAutospacing="1" w:after="100" w:afterAutospacing="1"/>
    </w:pPr>
  </w:style>
  <w:style w:type="character" w:styleId="Hyperlink">
    <w:name w:val="Hyperlink"/>
    <w:rsid w:val="005C04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438"/>
    <w:pPr>
      <w:ind w:left="708"/>
    </w:pPr>
  </w:style>
  <w:style w:type="table" w:styleId="Tabelacomgrade">
    <w:name w:val="Table Grid"/>
    <w:basedOn w:val="Tabelanormal"/>
    <w:rsid w:val="0095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23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do Patrimônio Histórico e Artístico Nacional – IPHAN</vt:lpstr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do Patrimônio Histórico e Artístico Nacional – IPHAN</dc:title>
  <dc:creator>sila.rodrigues</dc:creator>
  <cp:lastModifiedBy>adna.teixeira</cp:lastModifiedBy>
  <cp:revision>12</cp:revision>
  <cp:lastPrinted>2011-12-09T15:17:00Z</cp:lastPrinted>
  <dcterms:created xsi:type="dcterms:W3CDTF">2018-10-09T18:05:00Z</dcterms:created>
  <dcterms:modified xsi:type="dcterms:W3CDTF">2018-10-10T16:11:00Z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-1405617515</vt:i4>
  </property>
  <property fmtid="{D5CDD505-2E9C-101B-9397-08002B2CF9AE}" pid="3" name="_NewReviewCycle">
    <vt:lpwstr/>
  </property>
  <property fmtid="{D5CDD505-2E9C-101B-9397-08002B2CF9AE}" pid="4" name="_EmailSubject">
    <vt:lpwstr>publicação da análise dos recursos de admissibilidade</vt:lpwstr>
  </property>
  <property fmtid="{D5CDD505-2E9C-101B-9397-08002B2CF9AE}" pid="5" name="_AuthorEmail">
    <vt:lpwstr>Adna.Teixeira@museus.gov.br</vt:lpwstr>
  </property>
  <property fmtid="{D5CDD505-2E9C-101B-9397-08002B2CF9AE}" pid="6" name="_AuthorEmailDisplayName">
    <vt:lpwstr>Adna de Abreu Rodrigues Teixeira</vt:lpwstr>
  </property>
</Properties>
</file>